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6AD" w:rsidRDefault="000F053A">
      <w:r>
        <w:tab/>
      </w:r>
      <w:r>
        <w:tab/>
        <w:t xml:space="preserve">                                                               УТВЕРЖДЕН</w:t>
      </w:r>
    </w:p>
    <w:p w:rsidR="008436AD" w:rsidRDefault="000F053A">
      <w:pPr>
        <w:spacing w:line="240" w:lineRule="auto"/>
      </w:pPr>
      <w:r>
        <w:t xml:space="preserve">                                                                  постановлением администрации </w:t>
      </w:r>
    </w:p>
    <w:p w:rsidR="008436AD" w:rsidRDefault="000F053A">
      <w:pPr>
        <w:spacing w:line="240" w:lineRule="auto"/>
      </w:pPr>
      <w:r>
        <w:t xml:space="preserve">                                                                  Партизанского городского округа </w:t>
      </w:r>
    </w:p>
    <w:p w:rsidR="008436AD" w:rsidRDefault="000F053A">
      <w:pPr>
        <w:spacing w:line="240" w:lineRule="auto"/>
      </w:pPr>
      <w:r>
        <w:t xml:space="preserve">                                                                   От 08 августа 2024  №    1324</w:t>
      </w:r>
      <w:bookmarkStart w:id="0" w:name="_GoBack"/>
      <w:bookmarkEnd w:id="0"/>
      <w:r>
        <w:t xml:space="preserve"> -па    </w:t>
      </w:r>
    </w:p>
    <w:p w:rsidR="008436AD" w:rsidRDefault="008436AD"/>
    <w:p w:rsidR="008436AD" w:rsidRDefault="008436AD"/>
    <w:p w:rsidR="008436AD" w:rsidRDefault="008436AD">
      <w:pPr>
        <w:jc w:val="center"/>
      </w:pPr>
    </w:p>
    <w:p w:rsidR="008436AD" w:rsidRDefault="000F053A">
      <w:pPr>
        <w:spacing w:line="240" w:lineRule="auto"/>
        <w:jc w:val="center"/>
        <w:rPr>
          <w:b/>
        </w:rPr>
      </w:pPr>
      <w:r>
        <w:rPr>
          <w:b/>
        </w:rPr>
        <w:t>Муниципальная программа</w:t>
      </w:r>
    </w:p>
    <w:p w:rsidR="008436AD" w:rsidRDefault="000F053A">
      <w:pPr>
        <w:spacing w:line="240" w:lineRule="auto"/>
        <w:jc w:val="center"/>
        <w:rPr>
          <w:b/>
        </w:rPr>
      </w:pPr>
      <w:r>
        <w:rPr>
          <w:b/>
        </w:rPr>
        <w:t>«Укрепление общественного здоровья населения</w:t>
      </w:r>
    </w:p>
    <w:p w:rsidR="008436AD" w:rsidRDefault="000F053A">
      <w:pPr>
        <w:spacing w:line="240" w:lineRule="auto"/>
        <w:jc w:val="center"/>
        <w:rPr>
          <w:b/>
        </w:rPr>
      </w:pPr>
      <w:r>
        <w:rPr>
          <w:b/>
        </w:rPr>
        <w:t>Партизанского городского округа»</w:t>
      </w:r>
    </w:p>
    <w:p w:rsidR="008436AD" w:rsidRDefault="008436AD">
      <w:pPr>
        <w:spacing w:line="240" w:lineRule="auto"/>
        <w:jc w:val="center"/>
      </w:pPr>
    </w:p>
    <w:p w:rsidR="008436AD" w:rsidRDefault="000F053A">
      <w:pPr>
        <w:suppressAutoHyphens/>
        <w:jc w:val="center"/>
        <w:rPr>
          <w:b/>
        </w:rPr>
      </w:pPr>
      <w:r>
        <w:rPr>
          <w:b/>
        </w:rPr>
        <w:t>ПАСПОРТ МУНИЦИПАЛЬНОЙ ПРОГРАММЫ</w:t>
      </w:r>
    </w:p>
    <w:p w:rsidR="009160D5" w:rsidRPr="009160D5" w:rsidRDefault="009160D5">
      <w:pPr>
        <w:suppressAutoHyphens/>
        <w:jc w:val="center"/>
      </w:pPr>
      <w:r w:rsidRPr="009160D5">
        <w:t>( в редакции от 29.01.2025 № 179-па)</w:t>
      </w:r>
    </w:p>
    <w:tbl>
      <w:tblPr>
        <w:tblW w:w="5111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51"/>
        <w:gridCol w:w="7131"/>
      </w:tblGrid>
      <w:tr w:rsidR="008436AD">
        <w:trPr>
          <w:trHeight w:val="585"/>
        </w:trPr>
        <w:tc>
          <w:tcPr>
            <w:tcW w:w="1355" w:type="pct"/>
          </w:tcPr>
          <w:p w:rsidR="008436AD" w:rsidRDefault="000F053A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645" w:type="pct"/>
          </w:tcPr>
          <w:p w:rsidR="008436AD" w:rsidRDefault="000F053A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по территориальной и организационно-контрольной работе администрации Партизанского городского округа </w:t>
            </w:r>
          </w:p>
        </w:tc>
      </w:tr>
      <w:tr w:rsidR="008436AD">
        <w:trPr>
          <w:trHeight w:val="585"/>
        </w:trPr>
        <w:tc>
          <w:tcPr>
            <w:tcW w:w="1355" w:type="pct"/>
          </w:tcPr>
          <w:p w:rsidR="008436AD" w:rsidRDefault="000F053A">
            <w:pPr>
              <w:spacing w:line="240" w:lineRule="auto"/>
            </w:pPr>
            <w:r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3645" w:type="pct"/>
          </w:tcPr>
          <w:p w:rsidR="008436AD" w:rsidRDefault="000F053A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физкультуры и спорта администрации Партизанского городского округа;</w:t>
            </w:r>
          </w:p>
          <w:p w:rsidR="008436AD" w:rsidRDefault="000F053A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культуры и молодежной политики администрации Партизанского городского округа;</w:t>
            </w:r>
          </w:p>
          <w:p w:rsidR="008436AD" w:rsidRDefault="000F053A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 администрации Партизанского городского округа;</w:t>
            </w:r>
          </w:p>
          <w:p w:rsidR="008436AD" w:rsidRDefault="000F053A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Комиссия по делам несовершеннолетних при администрации Партизанского городского округа;</w:t>
            </w:r>
          </w:p>
          <w:p w:rsidR="008436AD" w:rsidRDefault="000F053A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по охране труда администрации Партизанского городского округа.</w:t>
            </w:r>
          </w:p>
        </w:tc>
      </w:tr>
      <w:tr w:rsidR="008436AD">
        <w:trPr>
          <w:trHeight w:val="585"/>
        </w:trPr>
        <w:tc>
          <w:tcPr>
            <w:tcW w:w="1355" w:type="pct"/>
          </w:tcPr>
          <w:p w:rsidR="008436AD" w:rsidRDefault="000F053A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Структура муниципальной программы  </w:t>
            </w:r>
          </w:p>
        </w:tc>
        <w:tc>
          <w:tcPr>
            <w:tcW w:w="3645" w:type="pct"/>
          </w:tcPr>
          <w:p w:rsidR="008436AD" w:rsidRDefault="000F053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«Укрепление общественного здоровья населения</w:t>
            </w:r>
          </w:p>
          <w:p w:rsidR="008436AD" w:rsidRDefault="000F053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Партизанского городского округа»  (далее - Программа) состоит из отдельных мероприятий.</w:t>
            </w:r>
          </w:p>
        </w:tc>
      </w:tr>
      <w:tr w:rsidR="008436AD">
        <w:trPr>
          <w:trHeight w:val="585"/>
        </w:trPr>
        <w:tc>
          <w:tcPr>
            <w:tcW w:w="1355" w:type="pct"/>
          </w:tcPr>
          <w:p w:rsidR="008436AD" w:rsidRDefault="000F053A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 муниципальной программы </w:t>
            </w:r>
          </w:p>
        </w:tc>
        <w:tc>
          <w:tcPr>
            <w:tcW w:w="3645" w:type="pct"/>
          </w:tcPr>
          <w:p w:rsidR="008436AD" w:rsidRDefault="000F053A">
            <w:pPr>
              <w:spacing w:line="240" w:lineRule="auto"/>
              <w:ind w:firstLine="56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Укрепление общественного здоровья населения Партизанского городского округа</w:t>
            </w:r>
          </w:p>
        </w:tc>
      </w:tr>
      <w:tr w:rsidR="008436AD">
        <w:trPr>
          <w:trHeight w:val="585"/>
        </w:trPr>
        <w:tc>
          <w:tcPr>
            <w:tcW w:w="1355" w:type="pct"/>
          </w:tcPr>
          <w:p w:rsidR="008436AD" w:rsidRDefault="000F053A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Задачи муниципальной программы </w:t>
            </w:r>
          </w:p>
        </w:tc>
        <w:tc>
          <w:tcPr>
            <w:tcW w:w="3645" w:type="pct"/>
          </w:tcPr>
          <w:p w:rsidR="008436AD" w:rsidRDefault="000F053A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 xml:space="preserve">            1.</w:t>
            </w:r>
            <w:r>
              <w:rPr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Проведение пропаганды ЗОЖ</w:t>
            </w:r>
            <w:r>
              <w:rPr>
                <w:sz w:val="24"/>
                <w:szCs w:val="24"/>
                <w:lang w:eastAsia="zh-CN"/>
              </w:rPr>
              <w:t>.</w:t>
            </w:r>
          </w:p>
          <w:p w:rsidR="008436AD" w:rsidRDefault="000F053A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zh-CN"/>
              </w:rPr>
              <w:t xml:space="preserve">            </w:t>
            </w:r>
            <w:r>
              <w:rPr>
                <w:sz w:val="24"/>
                <w:szCs w:val="24"/>
                <w:lang w:eastAsia="zh-CN"/>
              </w:rPr>
              <w:t>2.</w:t>
            </w:r>
            <w:r>
              <w:rPr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sz w:val="24"/>
                <w:szCs w:val="24"/>
                <w:lang w:eastAsia="zh-CN"/>
              </w:rPr>
              <w:t>Внедрение корпоративных программ укрепления здоровья граждан.</w:t>
            </w:r>
            <w:r>
              <w:rPr>
                <w:b/>
                <w:sz w:val="24"/>
                <w:szCs w:val="24"/>
                <w:lang w:eastAsia="en-US"/>
              </w:rPr>
              <w:t xml:space="preserve">           </w:t>
            </w:r>
          </w:p>
        </w:tc>
      </w:tr>
      <w:tr w:rsidR="008436AD">
        <w:trPr>
          <w:trHeight w:val="585"/>
        </w:trPr>
        <w:tc>
          <w:tcPr>
            <w:tcW w:w="1355" w:type="pct"/>
          </w:tcPr>
          <w:p w:rsidR="008436AD" w:rsidRDefault="000F053A">
            <w:pPr>
              <w:pStyle w:val="ConsPlusCell"/>
              <w:jc w:val="both"/>
            </w:pPr>
            <w:r>
              <w:t xml:space="preserve">Целевые индикаторы и показатели муниципальной программы           </w:t>
            </w:r>
          </w:p>
          <w:p w:rsidR="008436AD" w:rsidRDefault="008436AD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3645" w:type="pct"/>
          </w:tcPr>
          <w:p w:rsidR="008436AD" w:rsidRDefault="000F053A">
            <w:pPr>
              <w:spacing w:line="240" w:lineRule="auto"/>
              <w:contextualSpacing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- Количество проведенных мероприятий (встречи, беседы, круглые столы, акции, выставки, спортивные мероприятия и т.д.), направленных на информирование граждан о бережном отношении к здоровью, пользе физической активности, отказе от вредных привычек и т.д., в том числе на темы: польза здорового питания; вред табака, алкоголя и наркотиков; здоровый образ жизни; диспансеризация;</w:t>
            </w:r>
            <w:proofErr w:type="gramEnd"/>
            <w:r>
              <w:rPr>
                <w:sz w:val="24"/>
                <w:szCs w:val="24"/>
              </w:rPr>
              <w:t xml:space="preserve"> профилактика ХНИЗ и укрепление физического здоровья;</w:t>
            </w:r>
          </w:p>
          <w:p w:rsidR="008436AD" w:rsidRDefault="000F053A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-количество предприятий, реализующих корпоративные программы общественного здоровья;</w:t>
            </w:r>
          </w:p>
          <w:p w:rsidR="008436AD" w:rsidRDefault="000F053A">
            <w:pPr>
              <w:spacing w:line="24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 Количество предприятий,  принявших участие в  мероприятиях по охране труда;</w:t>
            </w:r>
          </w:p>
          <w:p w:rsidR="008436AD" w:rsidRDefault="000F053A">
            <w:pPr>
              <w:pStyle w:val="TableParagraph"/>
              <w:tabs>
                <w:tab w:val="left" w:pos="228"/>
              </w:tabs>
              <w:spacing w:line="240" w:lineRule="auto"/>
              <w:ind w:left="62" w:right="2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-доля жителей старше 60 лет, принимающих участие в мероприятиях проекта « Активное долголетие».</w:t>
            </w:r>
          </w:p>
        </w:tc>
      </w:tr>
      <w:tr w:rsidR="008436AD">
        <w:trPr>
          <w:trHeight w:val="585"/>
        </w:trPr>
        <w:tc>
          <w:tcPr>
            <w:tcW w:w="1355" w:type="pct"/>
          </w:tcPr>
          <w:p w:rsidR="008436AD" w:rsidRDefault="000F053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Этапы и сроки реализации </w:t>
            </w:r>
            <w:r>
              <w:rPr>
                <w:sz w:val="24"/>
                <w:szCs w:val="24"/>
              </w:rPr>
              <w:lastRenderedPageBreak/>
              <w:t xml:space="preserve">муниципальной программы </w:t>
            </w:r>
          </w:p>
        </w:tc>
        <w:tc>
          <w:tcPr>
            <w:tcW w:w="3645" w:type="pct"/>
          </w:tcPr>
          <w:p w:rsidR="008436AD" w:rsidRDefault="000F053A">
            <w:pPr>
              <w:pStyle w:val="ConsPlusCell"/>
              <w:ind w:firstLine="56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Программа реализуется в один этап в 2025 – 2029 годах.</w:t>
            </w:r>
          </w:p>
        </w:tc>
      </w:tr>
      <w:tr w:rsidR="008436AD">
        <w:trPr>
          <w:trHeight w:val="585"/>
        </w:trPr>
        <w:tc>
          <w:tcPr>
            <w:tcW w:w="1355" w:type="pct"/>
          </w:tcPr>
          <w:p w:rsidR="008436AD" w:rsidRDefault="000F053A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Объем средств местного бюджета на финансирование муниципальной программы и прогнозная оценка привлекаемых на реализацию ее целей средств федерального, </w:t>
            </w:r>
            <w:proofErr w:type="spellStart"/>
            <w:r>
              <w:rPr>
                <w:sz w:val="24"/>
                <w:szCs w:val="24"/>
              </w:rPr>
              <w:t>каревого</w:t>
            </w:r>
            <w:proofErr w:type="spellEnd"/>
            <w:r>
              <w:rPr>
                <w:sz w:val="24"/>
                <w:szCs w:val="24"/>
              </w:rPr>
              <w:t xml:space="preserve"> бюджетов, иных внебюджетных источников в случае участия Приморского края в реализации муниципальных программ</w:t>
            </w:r>
          </w:p>
        </w:tc>
        <w:tc>
          <w:tcPr>
            <w:tcW w:w="3645" w:type="pct"/>
          </w:tcPr>
          <w:p w:rsidR="008436AD" w:rsidRDefault="000F053A">
            <w:pPr>
              <w:ind w:firstLine="56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Общий объем финансирования мероприятий муниципальной Программы за счет средств местного бюджета составляет: </w:t>
            </w:r>
          </w:p>
          <w:p w:rsidR="008436AD" w:rsidRDefault="000F053A">
            <w:pPr>
              <w:tabs>
                <w:tab w:val="left" w:pos="979"/>
              </w:tabs>
              <w:ind w:firstLine="567"/>
              <w:contextualSpacing/>
              <w:rPr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 xml:space="preserve">235 000,00 </w:t>
            </w:r>
            <w:r>
              <w:rPr>
                <w:sz w:val="24"/>
                <w:szCs w:val="24"/>
              </w:rPr>
              <w:t xml:space="preserve">рублей, в том числе по годам: </w:t>
            </w:r>
          </w:p>
          <w:p w:rsidR="008436AD" w:rsidRDefault="000F053A">
            <w:pPr>
              <w:numPr>
                <w:ilvl w:val="0"/>
                <w:numId w:val="2"/>
              </w:numPr>
              <w:tabs>
                <w:tab w:val="left" w:pos="979"/>
              </w:tabs>
              <w:autoSpaceDE/>
              <w:autoSpaceDN/>
              <w:adjustRightInd/>
              <w:spacing w:line="240" w:lineRule="auto"/>
              <w:ind w:left="0" w:firstLine="56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 –</w:t>
            </w:r>
            <w:bookmarkStart w:id="1" w:name="OLE_LINK35"/>
            <w:bookmarkStart w:id="2" w:name="OLE_LINK36"/>
            <w:bookmarkStart w:id="3" w:name="OLE_LINK37"/>
            <w:r>
              <w:rPr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lang w:val="en-US"/>
              </w:rPr>
              <w:t xml:space="preserve">7 </w:t>
            </w:r>
            <w:r>
              <w:rPr>
                <w:b/>
                <w:sz w:val="24"/>
                <w:szCs w:val="24"/>
              </w:rPr>
              <w:t>000</w:t>
            </w:r>
            <w:bookmarkEnd w:id="1"/>
            <w:bookmarkEnd w:id="2"/>
            <w:bookmarkEnd w:id="3"/>
            <w:r>
              <w:rPr>
                <w:b/>
                <w:sz w:val="24"/>
                <w:szCs w:val="24"/>
              </w:rPr>
              <w:t xml:space="preserve">,00 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 xml:space="preserve">рублей, </w:t>
            </w:r>
          </w:p>
          <w:p w:rsidR="008436AD" w:rsidRDefault="000F053A">
            <w:pPr>
              <w:numPr>
                <w:ilvl w:val="0"/>
                <w:numId w:val="2"/>
              </w:numPr>
              <w:tabs>
                <w:tab w:val="left" w:pos="979"/>
              </w:tabs>
              <w:autoSpaceDE/>
              <w:autoSpaceDN/>
              <w:adjustRightInd/>
              <w:spacing w:line="240" w:lineRule="auto"/>
              <w:ind w:left="0" w:firstLine="56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 –4</w:t>
            </w:r>
            <w:r>
              <w:rPr>
                <w:b/>
                <w:sz w:val="24"/>
                <w:szCs w:val="24"/>
                <w:lang w:val="en-US"/>
              </w:rPr>
              <w:t xml:space="preserve">7 </w:t>
            </w:r>
            <w:r>
              <w:rPr>
                <w:b/>
                <w:sz w:val="24"/>
                <w:szCs w:val="24"/>
              </w:rPr>
              <w:t xml:space="preserve">000,00 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рублей,</w:t>
            </w:r>
            <w:bookmarkStart w:id="4" w:name="OLE_LINK39"/>
            <w:bookmarkStart w:id="5" w:name="OLE_LINK38"/>
          </w:p>
          <w:p w:rsidR="008436AD" w:rsidRDefault="000F053A">
            <w:pPr>
              <w:numPr>
                <w:ilvl w:val="0"/>
                <w:numId w:val="2"/>
              </w:numPr>
              <w:tabs>
                <w:tab w:val="left" w:pos="979"/>
              </w:tabs>
              <w:autoSpaceDE/>
              <w:autoSpaceDN/>
              <w:adjustRightInd/>
              <w:spacing w:line="240" w:lineRule="auto"/>
              <w:ind w:left="0" w:firstLine="56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 –4</w:t>
            </w:r>
            <w:r>
              <w:rPr>
                <w:b/>
                <w:sz w:val="24"/>
                <w:szCs w:val="24"/>
                <w:lang w:val="en-US"/>
              </w:rPr>
              <w:t xml:space="preserve">7 </w:t>
            </w:r>
            <w:r>
              <w:rPr>
                <w:b/>
                <w:sz w:val="24"/>
                <w:szCs w:val="24"/>
              </w:rPr>
              <w:t xml:space="preserve">000,00 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рублей.</w:t>
            </w:r>
            <w:bookmarkEnd w:id="4"/>
            <w:bookmarkEnd w:id="5"/>
            <w:r>
              <w:rPr>
                <w:sz w:val="24"/>
                <w:szCs w:val="24"/>
              </w:rPr>
              <w:t xml:space="preserve"> </w:t>
            </w:r>
          </w:p>
          <w:p w:rsidR="008436AD" w:rsidRDefault="000F053A">
            <w:pPr>
              <w:numPr>
                <w:ilvl w:val="0"/>
                <w:numId w:val="2"/>
              </w:numPr>
              <w:tabs>
                <w:tab w:val="left" w:pos="979"/>
              </w:tabs>
              <w:autoSpaceDE/>
              <w:autoSpaceDN/>
              <w:adjustRightInd/>
              <w:spacing w:line="240" w:lineRule="auto"/>
              <w:ind w:left="0" w:firstLine="56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 –4</w:t>
            </w:r>
            <w:r>
              <w:rPr>
                <w:b/>
                <w:sz w:val="24"/>
                <w:szCs w:val="24"/>
                <w:lang w:val="en-US"/>
              </w:rPr>
              <w:t xml:space="preserve">7 </w:t>
            </w:r>
            <w:r>
              <w:rPr>
                <w:b/>
                <w:sz w:val="24"/>
                <w:szCs w:val="24"/>
              </w:rPr>
              <w:t xml:space="preserve">000,00 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 xml:space="preserve">рублей. </w:t>
            </w:r>
          </w:p>
          <w:p w:rsidR="008436AD" w:rsidRDefault="000F053A">
            <w:pPr>
              <w:numPr>
                <w:ilvl w:val="0"/>
                <w:numId w:val="2"/>
              </w:numPr>
              <w:tabs>
                <w:tab w:val="left" w:pos="979"/>
              </w:tabs>
              <w:autoSpaceDE/>
              <w:autoSpaceDN/>
              <w:adjustRightInd/>
              <w:spacing w:line="240" w:lineRule="auto"/>
              <w:ind w:left="0" w:firstLine="56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 год –4</w:t>
            </w:r>
            <w:r>
              <w:rPr>
                <w:b/>
                <w:sz w:val="24"/>
                <w:szCs w:val="24"/>
                <w:lang w:val="en-US"/>
              </w:rPr>
              <w:t xml:space="preserve">7 </w:t>
            </w:r>
            <w:r>
              <w:rPr>
                <w:b/>
                <w:sz w:val="24"/>
                <w:szCs w:val="24"/>
              </w:rPr>
              <w:t xml:space="preserve">000,00 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рублей.</w:t>
            </w:r>
          </w:p>
          <w:p w:rsidR="008436AD" w:rsidRDefault="008436AD">
            <w:pPr>
              <w:tabs>
                <w:tab w:val="left" w:pos="979"/>
              </w:tabs>
              <w:autoSpaceDE/>
              <w:autoSpaceDN/>
              <w:adjustRightInd/>
              <w:spacing w:line="240" w:lineRule="auto"/>
              <w:ind w:left="567"/>
              <w:contextualSpacing/>
              <w:rPr>
                <w:b/>
                <w:sz w:val="24"/>
                <w:szCs w:val="24"/>
              </w:rPr>
            </w:pPr>
          </w:p>
        </w:tc>
      </w:tr>
      <w:tr w:rsidR="008436AD">
        <w:trPr>
          <w:trHeight w:val="585"/>
        </w:trPr>
        <w:tc>
          <w:tcPr>
            <w:tcW w:w="1355" w:type="pct"/>
          </w:tcPr>
          <w:p w:rsidR="008436AD" w:rsidRDefault="000F053A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Ожидаемые результаты реализации муниципальной программы </w:t>
            </w:r>
          </w:p>
        </w:tc>
        <w:tc>
          <w:tcPr>
            <w:tcW w:w="3645" w:type="pct"/>
          </w:tcPr>
          <w:p w:rsidR="008436AD" w:rsidRDefault="000F053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1.Снижение смертности, заболеваемости среди населения Партизанского городского округа.</w:t>
            </w:r>
          </w:p>
          <w:p w:rsidR="008436AD" w:rsidRDefault="000F053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2.Увеличение продолжительности жизни.</w:t>
            </w:r>
          </w:p>
          <w:p w:rsidR="008436AD" w:rsidRDefault="000F053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3.Исключение травматизма на производстве.</w:t>
            </w:r>
          </w:p>
        </w:tc>
      </w:tr>
    </w:tbl>
    <w:p w:rsidR="008436AD" w:rsidRDefault="008436AD"/>
    <w:p w:rsidR="008436AD" w:rsidRDefault="008436AD"/>
    <w:p w:rsidR="008436AD" w:rsidRDefault="000F053A">
      <w:pPr>
        <w:spacing w:line="240" w:lineRule="auto"/>
        <w:jc w:val="center"/>
        <w:rPr>
          <w:b/>
        </w:rPr>
      </w:pPr>
      <w:r>
        <w:rPr>
          <w:b/>
        </w:rPr>
        <w:t>1.Общая характеристика сферы реализации муниципальной программы (в том числе основных проблем) и прогноз ее развития.</w:t>
      </w:r>
    </w:p>
    <w:p w:rsidR="008436AD" w:rsidRDefault="008436AD"/>
    <w:p w:rsidR="008436AD" w:rsidRDefault="000F053A">
      <w:r>
        <w:t xml:space="preserve">        </w:t>
      </w:r>
      <w:proofErr w:type="gramStart"/>
      <w:r>
        <w:t xml:space="preserve">В состав Партизанского городского округа входят 11 населенных пунктов: город </w:t>
      </w:r>
      <w:proofErr w:type="spellStart"/>
      <w:r>
        <w:t>Партизанск</w:t>
      </w:r>
      <w:proofErr w:type="spellEnd"/>
      <w:r>
        <w:t xml:space="preserve"> и 10 сел – </w:t>
      </w:r>
      <w:proofErr w:type="spellStart"/>
      <w:r>
        <w:t>Углекаменск</w:t>
      </w:r>
      <w:proofErr w:type="spellEnd"/>
      <w:r>
        <w:t xml:space="preserve">, Казанка,  Авангард, Мельники, Залесье, </w:t>
      </w:r>
      <w:proofErr w:type="spellStart"/>
      <w:r>
        <w:t>Бровничи</w:t>
      </w:r>
      <w:proofErr w:type="spellEnd"/>
      <w:r>
        <w:t xml:space="preserve">, Хмельницкое, Фридман, Тигровой, Красноармейский, Серебряное. </w:t>
      </w:r>
      <w:proofErr w:type="gramEnd"/>
    </w:p>
    <w:p w:rsidR="008436AD" w:rsidRDefault="000F053A">
      <w:pPr>
        <w:pStyle w:val="ConsPlusCell"/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Среднегодовая численность населения Партизанского городского округа на 01.01.2024 года  составила 39132 человек (83,0% - городское население, 17,0% - сельское население), численность населения сократилась  на </w:t>
      </w:r>
      <w:r>
        <w:rPr>
          <w:sz w:val="28"/>
          <w:szCs w:val="28"/>
        </w:rPr>
        <w:t>385 человек по сравнению 2022 годом.</w:t>
      </w:r>
    </w:p>
    <w:p w:rsidR="008436AD" w:rsidRDefault="000F053A">
      <w:pPr>
        <w:pStyle w:val="ConsPlusCell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Количество жителей от 0 до 15 лет –16,5% (6525 человек) от всех жителей Партизанского городского округа.</w:t>
      </w:r>
    </w:p>
    <w:p w:rsidR="008436AD" w:rsidRDefault="000F053A">
      <w:pPr>
        <w:pStyle w:val="ConsPlusCell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Взрослое население составляет 83,5% (32992 человека), из них: трудоспособное население с 16 до 59 лет составляет 52,2% (20640 человек), старше трудоспособного возраста – 31,3% (12352 человек).</w:t>
      </w:r>
    </w:p>
    <w:p w:rsidR="008436AD" w:rsidRDefault="000F053A">
      <w:pPr>
        <w:pStyle w:val="ConsPlusCell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Мужчин 44,6% (17614 человека), женщин – 55,4% (21903 человек).</w:t>
      </w:r>
    </w:p>
    <w:p w:rsidR="008436AD" w:rsidRDefault="000F053A">
      <w:pPr>
        <w:pStyle w:val="ConsPlusCell"/>
        <w:spacing w:line="360" w:lineRule="auto"/>
        <w:ind w:firstLine="567"/>
        <w:jc w:val="both"/>
      </w:pPr>
      <w:r>
        <w:rPr>
          <w:color w:val="000000" w:themeColor="text1"/>
          <w:sz w:val="28"/>
          <w:szCs w:val="28"/>
        </w:rPr>
        <w:t>Показатель общей смертности среди населения в  2023 году  составил 19,9 на 1000 населения. В сравнении с 2022 годом отмечается снижение общей смертности на 2,5%. Структура смертности в 2023  г. остается практически неизменной на протяжении ряда лет: болезни системы кровообращения – 50,1%, новообразования -16,1%,  несчастные случаи, травмы и отравления – 7,9%. Показатель общей смертности в Партизанском городском округе превысил средне краевой уровень в 1,4 раза.</w:t>
      </w:r>
    </w:p>
    <w:p w:rsidR="008436AD" w:rsidRDefault="000F053A">
      <w:pPr>
        <w:ind w:right="241" w:firstLine="712"/>
      </w:pPr>
      <w:r>
        <w:t>Учитывая, что здоровье граждан является одним из приоритетных направлений социальной политики государства, а также одной из главных ценностей</w:t>
      </w:r>
      <w:r>
        <w:rPr>
          <w:spacing w:val="-4"/>
        </w:rPr>
        <w:t xml:space="preserve"> </w:t>
      </w:r>
      <w:r>
        <w:t>общества, охрана</w:t>
      </w:r>
      <w:r>
        <w:rPr>
          <w:spacing w:val="-4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профилактика здоровья населения имеет</w:t>
      </w:r>
      <w:r>
        <w:rPr>
          <w:spacing w:val="-10"/>
        </w:rPr>
        <w:t xml:space="preserve"> </w:t>
      </w:r>
      <w:r>
        <w:t>также немаловажное значение.</w:t>
      </w:r>
    </w:p>
    <w:p w:rsidR="008436AD" w:rsidRDefault="000F053A">
      <w:pPr>
        <w:spacing w:before="1"/>
        <w:ind w:left="142" w:right="235" w:firstLine="711"/>
      </w:pPr>
      <w:r>
        <w:t>Охрана и профилактика здоровья включает в себя комплекс мероприятий, направленных на сохранение и укрепление здоровья, формирование здорового образа жизни, предупреждение возникновения и (или)</w:t>
      </w:r>
      <w:r>
        <w:rPr>
          <w:spacing w:val="-3"/>
        </w:rPr>
        <w:t xml:space="preserve"> </w:t>
      </w:r>
      <w:r>
        <w:t>распространения</w:t>
      </w:r>
      <w:r>
        <w:rPr>
          <w:spacing w:val="-2"/>
        </w:rPr>
        <w:t xml:space="preserve"> </w:t>
      </w:r>
      <w:r>
        <w:t>заболеваний, их</w:t>
      </w:r>
      <w:r>
        <w:rPr>
          <w:spacing w:val="-5"/>
        </w:rPr>
        <w:t xml:space="preserve"> </w:t>
      </w:r>
      <w:r>
        <w:t>раннее</w:t>
      </w:r>
      <w:r>
        <w:rPr>
          <w:spacing w:val="-1"/>
        </w:rPr>
        <w:t xml:space="preserve"> </w:t>
      </w:r>
      <w:r>
        <w:t>выявление, выявление причин и условий их возникновения и развития, а также устранение вредного влияния на здоровье человека факторов среды его</w:t>
      </w:r>
      <w:r>
        <w:rPr>
          <w:spacing w:val="-3"/>
        </w:rPr>
        <w:t xml:space="preserve"> </w:t>
      </w:r>
      <w:r>
        <w:t>обитания.</w:t>
      </w:r>
    </w:p>
    <w:p w:rsidR="008436AD" w:rsidRDefault="000F053A">
      <w:pPr>
        <w:ind w:right="238"/>
      </w:pPr>
      <w:r>
        <w:t xml:space="preserve">        Однако ситуация в области профилактики заболеваний и формированию здорового образа жизни практически всех социально-демографических групп населения остается сложной.</w:t>
      </w:r>
    </w:p>
    <w:p w:rsidR="008436AD" w:rsidRDefault="000F053A">
      <w:pPr>
        <w:pStyle w:val="a9"/>
        <w:spacing w:before="5"/>
        <w:ind w:right="239" w:firstLine="705"/>
        <w:contextualSpacing/>
      </w:pPr>
      <w:r>
        <w:t>Многие</w:t>
      </w:r>
      <w:r>
        <w:rPr>
          <w:spacing w:val="-7"/>
        </w:rPr>
        <w:t xml:space="preserve"> </w:t>
      </w:r>
      <w:r>
        <w:t xml:space="preserve">граждане пренебрегают информацией о необходимости прохождения медицинских осмотров, диспансеризации, направленных на профилактику и ранее </w:t>
      </w:r>
      <w:proofErr w:type="gramStart"/>
      <w:r>
        <w:t>выявление</w:t>
      </w:r>
      <w:proofErr w:type="gramEnd"/>
      <w:r>
        <w:rPr>
          <w:spacing w:val="-3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t>лечение</w:t>
      </w:r>
      <w:r>
        <w:rPr>
          <w:spacing w:val="-3"/>
        </w:rPr>
        <w:t xml:space="preserve"> </w:t>
      </w:r>
      <w:r>
        <w:t>заболеваний.</w:t>
      </w:r>
    </w:p>
    <w:p w:rsidR="008436AD" w:rsidRDefault="000F053A">
      <w:pPr>
        <w:pStyle w:val="a9"/>
        <w:spacing w:before="11"/>
        <w:ind w:right="231"/>
        <w:contextualSpacing/>
        <w:rPr>
          <w:spacing w:val="-2"/>
        </w:rPr>
      </w:pPr>
      <w:r>
        <w:t xml:space="preserve">           Программа </w:t>
      </w:r>
      <w:r>
        <w:rPr>
          <w:spacing w:val="-2"/>
        </w:rPr>
        <w:t>предусматривает</w:t>
      </w:r>
      <w:r>
        <w:rPr>
          <w:spacing w:val="-16"/>
        </w:rPr>
        <w:t xml:space="preserve"> </w:t>
      </w:r>
      <w:r>
        <w:rPr>
          <w:spacing w:val="-2"/>
        </w:rPr>
        <w:t xml:space="preserve">проведение </w:t>
      </w:r>
      <w:r>
        <w:t xml:space="preserve">информационно-коммуникационной кампании, направленной на профилактику и раннее </w:t>
      </w:r>
      <w:proofErr w:type="gramStart"/>
      <w:r>
        <w:t>выявление</w:t>
      </w:r>
      <w:proofErr w:type="gramEnd"/>
      <w:r>
        <w:t xml:space="preserve"> и лечение заболеваний, а также на </w:t>
      </w:r>
      <w:r>
        <w:rPr>
          <w:spacing w:val="-2"/>
        </w:rPr>
        <w:t>формирование</w:t>
      </w:r>
      <w:r>
        <w:rPr>
          <w:spacing w:val="2"/>
        </w:rPr>
        <w:t xml:space="preserve"> </w:t>
      </w:r>
      <w:r>
        <w:rPr>
          <w:spacing w:val="-2"/>
        </w:rPr>
        <w:t>у</w:t>
      </w:r>
      <w:r>
        <w:rPr>
          <w:spacing w:val="-16"/>
        </w:rPr>
        <w:t xml:space="preserve"> </w:t>
      </w:r>
      <w:r>
        <w:rPr>
          <w:spacing w:val="-2"/>
        </w:rPr>
        <w:t>граждан</w:t>
      </w:r>
      <w:r>
        <w:rPr>
          <w:spacing w:val="-12"/>
        </w:rPr>
        <w:t xml:space="preserve"> </w:t>
      </w:r>
      <w:r>
        <w:rPr>
          <w:spacing w:val="-2"/>
        </w:rPr>
        <w:t>мотивации</w:t>
      </w:r>
      <w:r>
        <w:rPr>
          <w:spacing w:val="2"/>
        </w:rPr>
        <w:t xml:space="preserve"> </w:t>
      </w:r>
      <w:r>
        <w:rPr>
          <w:spacing w:val="-2"/>
        </w:rPr>
        <w:t>к</w:t>
      </w:r>
      <w:r>
        <w:rPr>
          <w:spacing w:val="-17"/>
        </w:rPr>
        <w:t xml:space="preserve"> </w:t>
      </w:r>
      <w:r>
        <w:rPr>
          <w:spacing w:val="-2"/>
        </w:rPr>
        <w:t>ведению</w:t>
      </w:r>
      <w:r>
        <w:rPr>
          <w:spacing w:val="-15"/>
        </w:rPr>
        <w:t xml:space="preserve"> </w:t>
      </w:r>
      <w:r>
        <w:rPr>
          <w:spacing w:val="-2"/>
        </w:rPr>
        <w:t>здорового</w:t>
      </w:r>
      <w:r>
        <w:rPr>
          <w:spacing w:val="-11"/>
        </w:rPr>
        <w:t xml:space="preserve"> </w:t>
      </w:r>
      <w:r>
        <w:rPr>
          <w:spacing w:val="-2"/>
        </w:rPr>
        <w:t>образа</w:t>
      </w:r>
      <w:r>
        <w:rPr>
          <w:spacing w:val="-14"/>
        </w:rPr>
        <w:t xml:space="preserve"> </w:t>
      </w:r>
      <w:r>
        <w:rPr>
          <w:spacing w:val="-2"/>
        </w:rPr>
        <w:t>жизни.</w:t>
      </w:r>
    </w:p>
    <w:p w:rsidR="008436AD" w:rsidRDefault="000F053A">
      <w:pPr>
        <w:pStyle w:val="a9"/>
        <w:spacing w:before="11"/>
        <w:ind w:right="231" w:firstLine="712"/>
        <w:contextualSpacing/>
        <w:rPr>
          <w:color w:val="000000" w:themeColor="text1"/>
        </w:rPr>
      </w:pPr>
      <w:proofErr w:type="gramStart"/>
      <w:r>
        <w:rPr>
          <w:color w:val="000000" w:themeColor="text1"/>
        </w:rPr>
        <w:t xml:space="preserve">Программа призвана способствовать более полному удовлетворению потребностей населения Партизанского городского округа в формировании </w:t>
      </w:r>
      <w:r>
        <w:rPr>
          <w:color w:val="000000" w:themeColor="text1"/>
        </w:rPr>
        <w:lastRenderedPageBreak/>
        <w:t>благоприятной для жизни и здоровья среды обитания (социальной, психологической, информационной), формированию культуры здоровья населения и ответственного отношения к своему физическому и психологическому здоровью, а также предлагает консолидацию усилий органов местного самоуправления, организаций всех форм собственности, населения и общественности городского округа в формировании здорового образа жизни населения.</w:t>
      </w:r>
      <w:proofErr w:type="gramEnd"/>
    </w:p>
    <w:p w:rsidR="008436AD" w:rsidRDefault="000F053A">
      <w:pPr>
        <w:pStyle w:val="a9"/>
        <w:spacing w:before="11"/>
        <w:ind w:right="231" w:firstLine="712"/>
        <w:contextualSpacing/>
        <w:rPr>
          <w:color w:val="000000" w:themeColor="text1"/>
        </w:rPr>
      </w:pPr>
      <w:r>
        <w:t>Использование программно-целевого подхода в реализации Программы и наличие механизма межведомственного взаимодействия будет способствовать выработке оптимальных путей достижения определенной Программой цели и решению поставленных задач.</w:t>
      </w:r>
    </w:p>
    <w:p w:rsidR="008436AD" w:rsidRDefault="000F053A">
      <w:pPr>
        <w:pStyle w:val="ConsPlusCell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Успешное проведение мероприятий программы, пропагандирующих здоровый образ жизни, направлено на улучшение демографической ситуации в Партизанском городском округе. Ведение жителями городского округа здорового образа жизни повлияет на снижение смертности, в том числе среди трудоспособного населения, снижение заболеваемости среди взрослых и детей, снижение вероятности преждевременного выхода на пенсию по инвалидности, предупреждение болезней. </w:t>
      </w:r>
    </w:p>
    <w:p w:rsidR="008436AD" w:rsidRDefault="000F053A">
      <w:pPr>
        <w:pStyle w:val="ConsPlusCell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Финансово-экономическим результатом от реализации данной Программы станет увеличение в бюджет городского округа налога на доходы физических лиц за счет роста числа трудоспособного населения, снижения выплат по больничным листам.</w:t>
      </w:r>
    </w:p>
    <w:p w:rsidR="008436AD" w:rsidRDefault="000F053A">
      <w:pPr>
        <w:pStyle w:val="ConsPlusCell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 реализации Программы также усилится межведомственное взаимодействие, активизируется участие гражданского общества и населения в пропаганде здорового образа жизни.</w:t>
      </w:r>
    </w:p>
    <w:p w:rsidR="008436AD" w:rsidRDefault="008436AD">
      <w:pPr>
        <w:pStyle w:val="ConsPlusCell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</w:p>
    <w:p w:rsidR="008436AD" w:rsidRDefault="000F053A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Приоритеты муниципальной политики в сфере реализации </w:t>
      </w:r>
    </w:p>
    <w:p w:rsidR="008436AD" w:rsidRDefault="000F053A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программы, цели и задачи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36AD" w:rsidRDefault="008436AD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436AD" w:rsidRDefault="000F053A">
      <w:pPr>
        <w:pStyle w:val="ab"/>
        <w:ind w:left="0" w:firstLine="283"/>
      </w:pPr>
      <w:r>
        <w:t xml:space="preserve">     Одним из приоритетных направлений социальной политики в деятельности  администрации Партизанского городского округа является </w:t>
      </w:r>
      <w:r>
        <w:lastRenderedPageBreak/>
        <w:t>создание благоприятных условий, обеспечивающих сохранение и укрепление здоровья жителей округа.</w:t>
      </w:r>
    </w:p>
    <w:p w:rsidR="008436AD" w:rsidRDefault="000F053A">
      <w:pPr>
        <w:contextualSpacing/>
        <w:rPr>
          <w:rFonts w:eastAsia="Calibri"/>
        </w:rPr>
      </w:pPr>
      <w:r>
        <w:t xml:space="preserve">         Настоящая муниципальная программа разработана с учетом </w:t>
      </w:r>
      <w:r>
        <w:rPr>
          <w:rFonts w:eastAsia="Calibri"/>
        </w:rPr>
        <w:t>Указа Президента РФ от 07.05.2024 № 309 "О национальных целях развития Российской Федерации на период до 2030 года и на перспективу до 2036 года"</w:t>
      </w:r>
      <w:r>
        <w:t xml:space="preserve">. Данным Указом одной из </w:t>
      </w:r>
      <w:r>
        <w:rPr>
          <w:rFonts w:eastAsia="Calibri"/>
        </w:rPr>
        <w:t>национальных целей развития Российской Федерации на период до 2030 года и на перспективу до 2036 года определено:</w:t>
      </w:r>
    </w:p>
    <w:p w:rsidR="008436AD" w:rsidRDefault="000F053A">
      <w:pPr>
        <w:spacing w:before="280"/>
        <w:ind w:firstLine="540"/>
        <w:contextualSpacing/>
        <w:rPr>
          <w:color w:val="000000" w:themeColor="text1"/>
        </w:rPr>
      </w:pPr>
      <w:r>
        <w:rPr>
          <w:rFonts w:eastAsia="Calibri"/>
        </w:rPr>
        <w:t>а) сохранение населения, укрепление здоровья и повышение благополучия людей, поддержка семьи.</w:t>
      </w:r>
      <w:r>
        <w:t xml:space="preserve">    </w:t>
      </w:r>
    </w:p>
    <w:p w:rsidR="008436AD" w:rsidRDefault="000F053A">
      <w:pPr>
        <w:pStyle w:val="TableParagraph"/>
      </w:pPr>
      <w:r>
        <w:t xml:space="preserve">      Цель Программы:</w:t>
      </w:r>
    </w:p>
    <w:p w:rsidR="008436AD" w:rsidRDefault="000F053A">
      <w:pPr>
        <w:pStyle w:val="TableParagraph"/>
      </w:pPr>
      <w:r>
        <w:t xml:space="preserve">       Укрепление общественного здоровья населения Партизанского городского округа.</w:t>
      </w:r>
    </w:p>
    <w:p w:rsidR="008436AD" w:rsidRDefault="000F053A">
      <w:r>
        <w:t xml:space="preserve">         Для достижения цели  Программы требуется решение следующих задач: </w:t>
      </w:r>
    </w:p>
    <w:p w:rsidR="008436AD" w:rsidRDefault="000F053A">
      <w:r>
        <w:rPr>
          <w:b/>
          <w:lang w:eastAsia="en-US"/>
        </w:rPr>
        <w:t xml:space="preserve"> -  </w:t>
      </w:r>
      <w:r>
        <w:rPr>
          <w:lang w:eastAsia="en-US"/>
        </w:rPr>
        <w:t>Проведение пропаганды ЗОЖ</w:t>
      </w:r>
    </w:p>
    <w:p w:rsidR="008436AD" w:rsidRDefault="000F053A">
      <w:r>
        <w:rPr>
          <w:b/>
          <w:lang w:eastAsia="zh-CN"/>
        </w:rPr>
        <w:t xml:space="preserve">           </w:t>
      </w:r>
      <w:r>
        <w:rPr>
          <w:b/>
          <w:lang w:eastAsia="en-US"/>
        </w:rPr>
        <w:t xml:space="preserve">           - </w:t>
      </w:r>
      <w:r>
        <w:rPr>
          <w:lang w:eastAsia="zh-CN"/>
        </w:rPr>
        <w:t>Внедрение корпоративных программ укрепления здоровья граждан.</w:t>
      </w:r>
      <w:r>
        <w:rPr>
          <w:b/>
          <w:lang w:eastAsia="zh-CN"/>
        </w:rPr>
        <w:t xml:space="preserve">         </w:t>
      </w:r>
    </w:p>
    <w:p w:rsidR="008436AD" w:rsidRDefault="000F053A">
      <w:pPr>
        <w:rPr>
          <w:lang w:eastAsia="en-US"/>
        </w:rPr>
      </w:pPr>
      <w:r>
        <w:rPr>
          <w:b/>
          <w:lang w:eastAsia="en-US"/>
        </w:rPr>
        <w:t xml:space="preserve">           </w:t>
      </w:r>
    </w:p>
    <w:p w:rsidR="008436AD" w:rsidRDefault="000F053A">
      <w:pPr>
        <w:jc w:val="center"/>
      </w:pPr>
      <w:r>
        <w:rPr>
          <w:b/>
        </w:rPr>
        <w:t>3.  Показатели (индикаторы) муниципальной Программы</w:t>
      </w:r>
    </w:p>
    <w:p w:rsidR="008436AD" w:rsidRDefault="000F053A">
      <w:r>
        <w:t xml:space="preserve">            Показатели (индикаторы) Программы, характеризующие эффективность реализации мероприятий Программы, приведены в приложении № 1 к Программе.</w:t>
      </w:r>
    </w:p>
    <w:p w:rsidR="008436AD" w:rsidRDefault="008436AD"/>
    <w:p w:rsidR="008436AD" w:rsidRDefault="000F053A">
      <w:pPr>
        <w:jc w:val="center"/>
      </w:pPr>
      <w:r>
        <w:rPr>
          <w:b/>
        </w:rPr>
        <w:t>4. Перечень мероприятий муниципальной Программы и план их реализации</w:t>
      </w:r>
    </w:p>
    <w:p w:rsidR="008436AD" w:rsidRDefault="000F053A">
      <w:r>
        <w:t xml:space="preserve">     Перечень мероприятий Программы и план их реализации приведен в приложение № 2 к Программе.</w:t>
      </w:r>
    </w:p>
    <w:p w:rsidR="008436AD" w:rsidRDefault="008436AD"/>
    <w:p w:rsidR="008436AD" w:rsidRDefault="000F053A">
      <w:pPr>
        <w:jc w:val="center"/>
        <w:rPr>
          <w:b/>
        </w:rPr>
      </w:pPr>
      <w:r>
        <w:rPr>
          <w:b/>
        </w:rPr>
        <w:t>5. Механизм реализации муниципальной Программы</w:t>
      </w:r>
    </w:p>
    <w:p w:rsidR="008436AD" w:rsidRDefault="008436AD"/>
    <w:p w:rsidR="008436AD" w:rsidRDefault="000F053A">
      <w:pPr>
        <w:rPr>
          <w:rFonts w:eastAsia="Calibri"/>
        </w:rPr>
      </w:pPr>
      <w:r>
        <w:rPr>
          <w:rFonts w:eastAsia="Calibri"/>
        </w:rPr>
        <w:lastRenderedPageBreak/>
        <w:t xml:space="preserve">         Реализация Программы  осуществляется в соответствии с Порядком </w:t>
      </w:r>
      <w:r>
        <w:rPr>
          <w:bCs/>
        </w:rPr>
        <w:t xml:space="preserve">принятия решения о разработке, формировании и реализации муниципальных программ и оценки эффективности их реализации, утвержденным </w:t>
      </w:r>
      <w:r>
        <w:rPr>
          <w:rFonts w:eastAsia="Calibri"/>
        </w:rPr>
        <w:t>постановлении администрации Партизанского городского округа</w:t>
      </w:r>
      <w:r>
        <w:t xml:space="preserve"> от 26.08.2013 года № 890-па.</w:t>
      </w:r>
    </w:p>
    <w:p w:rsidR="008436AD" w:rsidRDefault="000F053A">
      <w:pPr>
        <w:pStyle w:val="1"/>
      </w:pPr>
      <w:r>
        <w:t xml:space="preserve">        Ответственный исполнитель Программы:</w:t>
      </w:r>
    </w:p>
    <w:p w:rsidR="008436AD" w:rsidRDefault="000F053A">
      <w:pPr>
        <w:pStyle w:val="1"/>
      </w:pPr>
      <w:r>
        <w:t>-разрабатывает и утверждает ежегодный план реализации Программы;</w:t>
      </w:r>
    </w:p>
    <w:p w:rsidR="008436AD" w:rsidRDefault="000F053A">
      <w:pPr>
        <w:pStyle w:val="1"/>
      </w:pPr>
      <w:r>
        <w:t>-координирует и контролирует действия исполнителей Программы по выполнению мероприятий Программы;</w:t>
      </w:r>
    </w:p>
    <w:p w:rsidR="008436AD" w:rsidRDefault="000F053A">
      <w:pPr>
        <w:pStyle w:val="1"/>
      </w:pPr>
      <w:r>
        <w:t>-организует при необходимости внесение изменений в Программу.</w:t>
      </w:r>
    </w:p>
    <w:p w:rsidR="008436AD" w:rsidRDefault="000F053A">
      <w:pPr>
        <w:pStyle w:val="1"/>
      </w:pPr>
      <w:r>
        <w:t xml:space="preserve">            Исполнители мероприятий Программы:</w:t>
      </w:r>
    </w:p>
    <w:p w:rsidR="008436AD" w:rsidRDefault="000F053A">
      <w:pPr>
        <w:pStyle w:val="1"/>
      </w:pPr>
      <w:r>
        <w:t>-организуют деятельность по реализации мероприятий Программы;</w:t>
      </w:r>
    </w:p>
    <w:p w:rsidR="008436AD" w:rsidRDefault="000F053A">
      <w:pPr>
        <w:pStyle w:val="1"/>
      </w:pPr>
      <w:r>
        <w:t>-обеспечивают выполнение мероприятий Программы;</w:t>
      </w:r>
    </w:p>
    <w:p w:rsidR="008436AD" w:rsidRDefault="000F053A">
      <w:pPr>
        <w:pStyle w:val="1"/>
      </w:pPr>
      <w:r>
        <w:t>-представляют информацию о выполнении мероприятий Программы ответственному исполнителю Программы.</w:t>
      </w:r>
    </w:p>
    <w:p w:rsidR="008436AD" w:rsidRDefault="008436AD">
      <w:pPr>
        <w:pStyle w:val="1"/>
      </w:pPr>
    </w:p>
    <w:p w:rsidR="008436AD" w:rsidRDefault="008436AD"/>
    <w:p w:rsidR="008436AD" w:rsidRDefault="000F053A">
      <w:pPr>
        <w:suppressAutoHyphens/>
        <w:jc w:val="center"/>
        <w:rPr>
          <w:b/>
        </w:rPr>
      </w:pPr>
      <w:r>
        <w:rPr>
          <w:b/>
        </w:rPr>
        <w:t xml:space="preserve">6. Ресурсное обеспечение реализации Программы </w:t>
      </w:r>
    </w:p>
    <w:p w:rsidR="008436AD" w:rsidRDefault="000F053A">
      <w:pPr>
        <w:suppressAutoHyphens/>
        <w:jc w:val="center"/>
        <w:rPr>
          <w:b/>
        </w:rPr>
      </w:pPr>
      <w:r>
        <w:rPr>
          <w:b/>
        </w:rPr>
        <w:t xml:space="preserve"> </w:t>
      </w:r>
    </w:p>
    <w:p w:rsidR="008436AD" w:rsidRDefault="000F053A">
      <w:pPr>
        <w:suppressAutoHyphens/>
      </w:pPr>
      <w:r>
        <w:t xml:space="preserve">         Информация о ресурсном обеспечении реализации Программы за счет средств местного бюджета и прогнозная оценка привлекаемых на реализацию её целей средств федерального, краевого бюджетов, иных внебюджетных источников, в случае участия Приморского края в реализации муниципальных программ, аналогичных мероприятиям Программы, приведена в приложении № 3 к Программе.</w:t>
      </w:r>
    </w:p>
    <w:p w:rsidR="008436AD" w:rsidRDefault="000F053A">
      <w:pPr>
        <w:suppressAutoHyphens/>
      </w:pPr>
      <w:r>
        <w:t xml:space="preserve">       </w:t>
      </w:r>
    </w:p>
    <w:p w:rsidR="008436AD" w:rsidRDefault="000F053A">
      <w:pPr>
        <w:jc w:val="center"/>
        <w:rPr>
          <w:b/>
        </w:rPr>
      </w:pPr>
      <w:r>
        <w:rPr>
          <w:b/>
        </w:rPr>
        <w:t>7. Сроки и этапы реализации Программы</w:t>
      </w:r>
    </w:p>
    <w:p w:rsidR="008436AD" w:rsidRDefault="000F053A">
      <w:r>
        <w:t xml:space="preserve">        Программа реализуется в 2025-2029 годах в один этап.</w:t>
      </w:r>
    </w:p>
    <w:p w:rsidR="008436AD" w:rsidRDefault="008436AD"/>
    <w:p w:rsidR="008436AD" w:rsidRDefault="000F053A">
      <w:pPr>
        <w:rPr>
          <w:lang w:val="en-US"/>
        </w:rPr>
        <w:sectPr w:rsidR="008436AD">
          <w:headerReference w:type="default" r:id="rId8"/>
          <w:pgSz w:w="11906" w:h="16838"/>
          <w:pgMar w:top="567" w:right="851" w:bottom="567" w:left="1701" w:header="709" w:footer="885" w:gutter="0"/>
          <w:cols w:space="708"/>
          <w:titlePg/>
          <w:docGrid w:linePitch="360"/>
        </w:sectPr>
      </w:pPr>
      <w:r>
        <w:t xml:space="preserve">                                              </w:t>
      </w:r>
      <w:r>
        <w:rPr>
          <w:lang w:val="en-US"/>
        </w:rPr>
        <w:t>_________________</w:t>
      </w:r>
    </w:p>
    <w:p w:rsidR="008436AD" w:rsidRDefault="008436AD"/>
    <w:sectPr w:rsidR="008436AD" w:rsidSect="008436AD">
      <w:pgSz w:w="16838" w:h="11906" w:orient="landscape"/>
      <w:pgMar w:top="719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6AD" w:rsidRDefault="000F053A">
      <w:pPr>
        <w:spacing w:line="240" w:lineRule="auto"/>
      </w:pPr>
      <w:r>
        <w:separator/>
      </w:r>
    </w:p>
    <w:p w:rsidR="00000000" w:rsidRDefault="009160D5"/>
    <w:p w:rsidR="00000000" w:rsidRDefault="009160D5" w:rsidP="009160D5"/>
  </w:endnote>
  <w:endnote w:type="continuationSeparator" w:id="0">
    <w:p w:rsidR="008436AD" w:rsidRDefault="000F053A">
      <w:pPr>
        <w:spacing w:line="240" w:lineRule="auto"/>
      </w:pPr>
      <w:r>
        <w:continuationSeparator/>
      </w:r>
    </w:p>
    <w:p w:rsidR="00000000" w:rsidRDefault="009160D5"/>
    <w:p w:rsidR="00000000" w:rsidRDefault="009160D5" w:rsidP="009160D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6AD" w:rsidRDefault="000F053A">
      <w:r>
        <w:separator/>
      </w:r>
    </w:p>
    <w:p w:rsidR="00000000" w:rsidRDefault="009160D5"/>
    <w:p w:rsidR="00000000" w:rsidRDefault="009160D5" w:rsidP="009160D5"/>
  </w:footnote>
  <w:footnote w:type="continuationSeparator" w:id="0">
    <w:p w:rsidR="008436AD" w:rsidRDefault="000F053A">
      <w:r>
        <w:continuationSeparator/>
      </w:r>
    </w:p>
    <w:p w:rsidR="00000000" w:rsidRDefault="009160D5"/>
    <w:p w:rsidR="00000000" w:rsidRDefault="009160D5" w:rsidP="009160D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955817"/>
    </w:sdtPr>
    <w:sdtContent>
      <w:p w:rsidR="008436AD" w:rsidRDefault="001E31D3">
        <w:pPr>
          <w:pStyle w:val="a7"/>
          <w:jc w:val="center"/>
        </w:pPr>
        <w:r>
          <w:fldChar w:fldCharType="begin"/>
        </w:r>
        <w:r w:rsidR="000F053A">
          <w:instrText xml:space="preserve"> PAGE   \* MERGEFORMAT </w:instrText>
        </w:r>
        <w:r>
          <w:fldChar w:fldCharType="separate"/>
        </w:r>
        <w:r w:rsidR="009160D5">
          <w:rPr>
            <w:noProof/>
          </w:rPr>
          <w:t>7</w:t>
        </w:r>
        <w:r>
          <w:fldChar w:fldCharType="end"/>
        </w:r>
      </w:p>
    </w:sdtContent>
  </w:sdt>
  <w:p w:rsidR="008436AD" w:rsidRDefault="008436A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33470"/>
    <w:multiLevelType w:val="multilevel"/>
    <w:tmpl w:val="23C33470"/>
    <w:lvl w:ilvl="0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>
    <w:nsid w:val="2F906E31"/>
    <w:multiLevelType w:val="multilevel"/>
    <w:tmpl w:val="2F906E31"/>
    <w:lvl w:ilvl="0">
      <w:start w:val="1"/>
      <w:numFmt w:val="decimal"/>
      <w:pStyle w:val="a"/>
      <w:suff w:val="space"/>
      <w:lvlText w:val="%1."/>
      <w:lvlJc w:val="left"/>
      <w:pPr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321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93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65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37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609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81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53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258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32451"/>
    <w:rsid w:val="00021873"/>
    <w:rsid w:val="00022561"/>
    <w:rsid w:val="000371E6"/>
    <w:rsid w:val="000619F4"/>
    <w:rsid w:val="000834C3"/>
    <w:rsid w:val="000843E9"/>
    <w:rsid w:val="0009445B"/>
    <w:rsid w:val="000A3322"/>
    <w:rsid w:val="000A35B2"/>
    <w:rsid w:val="000B25CD"/>
    <w:rsid w:val="000D07D4"/>
    <w:rsid w:val="000E3C0C"/>
    <w:rsid w:val="000E7259"/>
    <w:rsid w:val="000F053A"/>
    <w:rsid w:val="00132451"/>
    <w:rsid w:val="0014501F"/>
    <w:rsid w:val="00154562"/>
    <w:rsid w:val="0016223E"/>
    <w:rsid w:val="00166B79"/>
    <w:rsid w:val="001678D4"/>
    <w:rsid w:val="00172A11"/>
    <w:rsid w:val="00182B37"/>
    <w:rsid w:val="001830EC"/>
    <w:rsid w:val="00183A7A"/>
    <w:rsid w:val="001A5FA5"/>
    <w:rsid w:val="001B70FB"/>
    <w:rsid w:val="001C476B"/>
    <w:rsid w:val="001C77A7"/>
    <w:rsid w:val="001D48F1"/>
    <w:rsid w:val="001E31D3"/>
    <w:rsid w:val="001F20AA"/>
    <w:rsid w:val="001F7634"/>
    <w:rsid w:val="0020742B"/>
    <w:rsid w:val="002326E0"/>
    <w:rsid w:val="0024062C"/>
    <w:rsid w:val="00252E29"/>
    <w:rsid w:val="00266938"/>
    <w:rsid w:val="0027716C"/>
    <w:rsid w:val="00283382"/>
    <w:rsid w:val="002A335C"/>
    <w:rsid w:val="002B0BFC"/>
    <w:rsid w:val="002B127D"/>
    <w:rsid w:val="002B4EA7"/>
    <w:rsid w:val="002D3414"/>
    <w:rsid w:val="002E0182"/>
    <w:rsid w:val="002E08C6"/>
    <w:rsid w:val="002E4F72"/>
    <w:rsid w:val="002E66E0"/>
    <w:rsid w:val="003161B1"/>
    <w:rsid w:val="00322CD7"/>
    <w:rsid w:val="00326D3A"/>
    <w:rsid w:val="0033480E"/>
    <w:rsid w:val="003842E1"/>
    <w:rsid w:val="003A4566"/>
    <w:rsid w:val="003C6C02"/>
    <w:rsid w:val="003E146E"/>
    <w:rsid w:val="004215B4"/>
    <w:rsid w:val="004267C9"/>
    <w:rsid w:val="00426D83"/>
    <w:rsid w:val="004467D1"/>
    <w:rsid w:val="0046396A"/>
    <w:rsid w:val="00472180"/>
    <w:rsid w:val="004738BA"/>
    <w:rsid w:val="00493851"/>
    <w:rsid w:val="004D63BD"/>
    <w:rsid w:val="004F508F"/>
    <w:rsid w:val="005215DF"/>
    <w:rsid w:val="005471A4"/>
    <w:rsid w:val="00556009"/>
    <w:rsid w:val="00574FBD"/>
    <w:rsid w:val="005A0754"/>
    <w:rsid w:val="005A2079"/>
    <w:rsid w:val="005B6560"/>
    <w:rsid w:val="005B7D2D"/>
    <w:rsid w:val="005D46A5"/>
    <w:rsid w:val="00604328"/>
    <w:rsid w:val="0062453E"/>
    <w:rsid w:val="00672A08"/>
    <w:rsid w:val="0068578E"/>
    <w:rsid w:val="00693B4D"/>
    <w:rsid w:val="00694823"/>
    <w:rsid w:val="006B1E76"/>
    <w:rsid w:val="006B6F40"/>
    <w:rsid w:val="006C6773"/>
    <w:rsid w:val="006D795D"/>
    <w:rsid w:val="006E0EC9"/>
    <w:rsid w:val="006E4FD7"/>
    <w:rsid w:val="006E5E5F"/>
    <w:rsid w:val="006F463C"/>
    <w:rsid w:val="00707C2F"/>
    <w:rsid w:val="00724BF9"/>
    <w:rsid w:val="00733388"/>
    <w:rsid w:val="007418D2"/>
    <w:rsid w:val="00743086"/>
    <w:rsid w:val="007754F4"/>
    <w:rsid w:val="00787776"/>
    <w:rsid w:val="007E1035"/>
    <w:rsid w:val="00813A16"/>
    <w:rsid w:val="00816232"/>
    <w:rsid w:val="00816A51"/>
    <w:rsid w:val="00825516"/>
    <w:rsid w:val="008268E1"/>
    <w:rsid w:val="00842399"/>
    <w:rsid w:val="008426AD"/>
    <w:rsid w:val="008436AD"/>
    <w:rsid w:val="00872ABA"/>
    <w:rsid w:val="0088257C"/>
    <w:rsid w:val="00886D16"/>
    <w:rsid w:val="00897D62"/>
    <w:rsid w:val="008A56A4"/>
    <w:rsid w:val="008B3722"/>
    <w:rsid w:val="008E1222"/>
    <w:rsid w:val="008E1726"/>
    <w:rsid w:val="008F763D"/>
    <w:rsid w:val="00901E2A"/>
    <w:rsid w:val="0090309C"/>
    <w:rsid w:val="009160D5"/>
    <w:rsid w:val="009172B0"/>
    <w:rsid w:val="009175E7"/>
    <w:rsid w:val="00931CBB"/>
    <w:rsid w:val="00946EFA"/>
    <w:rsid w:val="009545E1"/>
    <w:rsid w:val="00964954"/>
    <w:rsid w:val="00983287"/>
    <w:rsid w:val="00986EB7"/>
    <w:rsid w:val="009A082C"/>
    <w:rsid w:val="009C78CF"/>
    <w:rsid w:val="009D13D8"/>
    <w:rsid w:val="009D220E"/>
    <w:rsid w:val="009E0115"/>
    <w:rsid w:val="009E1B58"/>
    <w:rsid w:val="009F02F4"/>
    <w:rsid w:val="00A05F14"/>
    <w:rsid w:val="00A50525"/>
    <w:rsid w:val="00A5248B"/>
    <w:rsid w:val="00A82593"/>
    <w:rsid w:val="00A8540D"/>
    <w:rsid w:val="00AA3A56"/>
    <w:rsid w:val="00AC6867"/>
    <w:rsid w:val="00B00482"/>
    <w:rsid w:val="00B03A82"/>
    <w:rsid w:val="00B03E76"/>
    <w:rsid w:val="00B067AF"/>
    <w:rsid w:val="00B10B43"/>
    <w:rsid w:val="00B55E4E"/>
    <w:rsid w:val="00B826BC"/>
    <w:rsid w:val="00B87B78"/>
    <w:rsid w:val="00B90139"/>
    <w:rsid w:val="00B94C36"/>
    <w:rsid w:val="00B97E52"/>
    <w:rsid w:val="00BA2B1D"/>
    <w:rsid w:val="00BC01B6"/>
    <w:rsid w:val="00BE0B9B"/>
    <w:rsid w:val="00C02E01"/>
    <w:rsid w:val="00C5026E"/>
    <w:rsid w:val="00C70296"/>
    <w:rsid w:val="00C8030D"/>
    <w:rsid w:val="00C905F6"/>
    <w:rsid w:val="00C91534"/>
    <w:rsid w:val="00C9440F"/>
    <w:rsid w:val="00CA2117"/>
    <w:rsid w:val="00CB6E8B"/>
    <w:rsid w:val="00CD5F4E"/>
    <w:rsid w:val="00CD6C25"/>
    <w:rsid w:val="00CF18D1"/>
    <w:rsid w:val="00CF623D"/>
    <w:rsid w:val="00D022A3"/>
    <w:rsid w:val="00D540CE"/>
    <w:rsid w:val="00D63369"/>
    <w:rsid w:val="00DA3478"/>
    <w:rsid w:val="00DB01E1"/>
    <w:rsid w:val="00DD4C16"/>
    <w:rsid w:val="00DD5900"/>
    <w:rsid w:val="00DF5E6B"/>
    <w:rsid w:val="00E10D32"/>
    <w:rsid w:val="00E119DF"/>
    <w:rsid w:val="00E30D46"/>
    <w:rsid w:val="00E3284A"/>
    <w:rsid w:val="00E45370"/>
    <w:rsid w:val="00E53F41"/>
    <w:rsid w:val="00E63EBC"/>
    <w:rsid w:val="00E90436"/>
    <w:rsid w:val="00EC626B"/>
    <w:rsid w:val="00ED6ACF"/>
    <w:rsid w:val="00EE43D9"/>
    <w:rsid w:val="00EF0D36"/>
    <w:rsid w:val="00F145F0"/>
    <w:rsid w:val="00F257EA"/>
    <w:rsid w:val="00F56F75"/>
    <w:rsid w:val="00F61D7B"/>
    <w:rsid w:val="00F72F3C"/>
    <w:rsid w:val="00F74E08"/>
    <w:rsid w:val="00F94943"/>
    <w:rsid w:val="00F95000"/>
    <w:rsid w:val="00FA7348"/>
    <w:rsid w:val="00FC521B"/>
    <w:rsid w:val="00FD756A"/>
    <w:rsid w:val="00FF4193"/>
    <w:rsid w:val="046668AB"/>
    <w:rsid w:val="0BF11385"/>
    <w:rsid w:val="131F40A2"/>
    <w:rsid w:val="20603BF2"/>
    <w:rsid w:val="25487EB3"/>
    <w:rsid w:val="39B909F4"/>
    <w:rsid w:val="59154814"/>
    <w:rsid w:val="71955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semiHidden="0" w:unhideWhenUsed="0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iPriority="99" w:unhideWhenUsed="0" w:qFormat="1"/>
    <w:lsdException w:name="footer" w:semiHidden="0" w:uiPriority="99" w:unhideWhenUsed="0" w:qFormat="1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uiPriority="1" w:qFormat="1"/>
    <w:lsdException w:name="Body Text" w:semiHidden="0" w:unhideWhenUsed="0" w:qFormat="1"/>
    <w:lsdException w:name="Body Text Indent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 w:qFormat="1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Normal Table" w:uiPriority="99" w:qFormat="1"/>
    <w:lsdException w:name="annotation subject" w:semiHidden="0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iPriority="99" w:unhideWhenUsed="0" w:qFormat="1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semiHidden="0" w:uiPriority="99" w:unhideWhenUsed="0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autoRedefine/>
    <w:qFormat/>
    <w:rsid w:val="008436AD"/>
    <w:pPr>
      <w:autoSpaceDE w:val="0"/>
      <w:autoSpaceDN w:val="0"/>
      <w:adjustRightInd w:val="0"/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styleId="6">
    <w:name w:val="heading 6"/>
    <w:basedOn w:val="a0"/>
    <w:next w:val="a0"/>
    <w:qFormat/>
    <w:rsid w:val="008436AD"/>
    <w:pPr>
      <w:keepNext/>
      <w:spacing w:after="240"/>
      <w:jc w:val="center"/>
      <w:outlineLvl w:val="5"/>
    </w:pPr>
    <w:rPr>
      <w:b/>
      <w:bCs/>
      <w:caps/>
      <w:smallCaps/>
    </w:rPr>
  </w:style>
  <w:style w:type="paragraph" w:styleId="7">
    <w:name w:val="heading 7"/>
    <w:basedOn w:val="a0"/>
    <w:next w:val="a0"/>
    <w:qFormat/>
    <w:rsid w:val="008436AD"/>
    <w:pPr>
      <w:keepNext/>
      <w:overflowPunct w:val="0"/>
      <w:spacing w:after="120"/>
      <w:ind w:right="142"/>
      <w:jc w:val="center"/>
      <w:textAlignment w:val="baseline"/>
      <w:outlineLvl w:val="6"/>
    </w:pPr>
    <w:rPr>
      <w:b/>
      <w:bCs/>
      <w:spacing w:val="80"/>
      <w:sz w:val="42"/>
      <w:szCs w:val="4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qFormat/>
    <w:rsid w:val="008436AD"/>
    <w:rPr>
      <w:color w:val="0000FF"/>
      <w:u w:val="single"/>
    </w:rPr>
  </w:style>
  <w:style w:type="paragraph" w:styleId="a5">
    <w:name w:val="Balloon Text"/>
    <w:basedOn w:val="a0"/>
    <w:link w:val="a6"/>
    <w:qFormat/>
    <w:rsid w:val="008436AD"/>
    <w:rPr>
      <w:rFonts w:ascii="Tahoma" w:hAnsi="Tahoma" w:cs="Tahoma"/>
      <w:sz w:val="16"/>
      <w:szCs w:val="16"/>
    </w:rPr>
  </w:style>
  <w:style w:type="paragraph" w:styleId="a7">
    <w:name w:val="header"/>
    <w:basedOn w:val="a0"/>
    <w:link w:val="a8"/>
    <w:uiPriority w:val="99"/>
    <w:qFormat/>
    <w:rsid w:val="008436AD"/>
    <w:pPr>
      <w:tabs>
        <w:tab w:val="center" w:pos="4677"/>
        <w:tab w:val="right" w:pos="9355"/>
      </w:tabs>
    </w:pPr>
  </w:style>
  <w:style w:type="paragraph" w:styleId="a9">
    <w:name w:val="Body Text"/>
    <w:basedOn w:val="a0"/>
    <w:link w:val="aa"/>
    <w:qFormat/>
    <w:rsid w:val="008436AD"/>
    <w:pPr>
      <w:spacing w:after="120"/>
    </w:pPr>
  </w:style>
  <w:style w:type="paragraph" w:styleId="ab">
    <w:name w:val="Body Text Indent"/>
    <w:basedOn w:val="a0"/>
    <w:link w:val="ac"/>
    <w:qFormat/>
    <w:rsid w:val="008436AD"/>
    <w:pPr>
      <w:spacing w:after="120"/>
      <w:ind w:left="283"/>
    </w:pPr>
  </w:style>
  <w:style w:type="paragraph" w:styleId="ad">
    <w:name w:val="footer"/>
    <w:basedOn w:val="a0"/>
    <w:link w:val="ae"/>
    <w:uiPriority w:val="99"/>
    <w:qFormat/>
    <w:rsid w:val="008436AD"/>
    <w:pPr>
      <w:tabs>
        <w:tab w:val="center" w:pos="4677"/>
        <w:tab w:val="right" w:pos="9355"/>
      </w:tabs>
    </w:pPr>
  </w:style>
  <w:style w:type="paragraph" w:styleId="af">
    <w:name w:val="Normal (Web)"/>
    <w:basedOn w:val="a0"/>
    <w:link w:val="af0"/>
    <w:uiPriority w:val="99"/>
    <w:qFormat/>
    <w:rsid w:val="008436AD"/>
    <w:pPr>
      <w:spacing w:before="100" w:beforeAutospacing="1" w:after="100" w:afterAutospacing="1"/>
    </w:pPr>
  </w:style>
  <w:style w:type="table" w:styleId="af1">
    <w:name w:val="Table Grid"/>
    <w:basedOn w:val="a2"/>
    <w:uiPriority w:val="99"/>
    <w:qFormat/>
    <w:rsid w:val="008436AD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Текст выноски Знак"/>
    <w:basedOn w:val="a1"/>
    <w:link w:val="a5"/>
    <w:rsid w:val="008436AD"/>
    <w:rPr>
      <w:rFonts w:ascii="Tahoma" w:hAnsi="Tahoma" w:cs="Tahoma"/>
      <w:sz w:val="16"/>
      <w:szCs w:val="16"/>
    </w:rPr>
  </w:style>
  <w:style w:type="paragraph" w:styleId="af2">
    <w:name w:val="List Paragraph"/>
    <w:basedOn w:val="a0"/>
    <w:uiPriority w:val="99"/>
    <w:qFormat/>
    <w:rsid w:val="008436A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Cell">
    <w:name w:val="ConsPlusCell"/>
    <w:qFormat/>
    <w:rsid w:val="008436A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character" w:customStyle="1" w:styleId="ae">
    <w:name w:val="Нижний колонтитул Знак"/>
    <w:basedOn w:val="a1"/>
    <w:link w:val="ad"/>
    <w:uiPriority w:val="99"/>
    <w:qFormat/>
    <w:locked/>
    <w:rsid w:val="008436AD"/>
    <w:rPr>
      <w:sz w:val="24"/>
      <w:szCs w:val="24"/>
    </w:rPr>
  </w:style>
  <w:style w:type="paragraph" w:customStyle="1" w:styleId="ConsPlusNormal">
    <w:name w:val="ConsPlusNormal"/>
    <w:qFormat/>
    <w:rsid w:val="008436AD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normal0">
    <w:name w:val="consplusnormal"/>
    <w:basedOn w:val="a0"/>
    <w:qFormat/>
    <w:rsid w:val="008436AD"/>
    <w:pPr>
      <w:spacing w:before="100" w:beforeAutospacing="1" w:after="100" w:afterAutospacing="1"/>
    </w:pPr>
  </w:style>
  <w:style w:type="character" w:customStyle="1" w:styleId="aa">
    <w:name w:val="Основной текст Знак"/>
    <w:basedOn w:val="a1"/>
    <w:link w:val="a9"/>
    <w:qFormat/>
    <w:rsid w:val="008436AD"/>
    <w:rPr>
      <w:sz w:val="28"/>
      <w:szCs w:val="24"/>
    </w:rPr>
  </w:style>
  <w:style w:type="character" w:customStyle="1" w:styleId="a8">
    <w:name w:val="Верхний колонтитул Знак"/>
    <w:basedOn w:val="a1"/>
    <w:link w:val="a7"/>
    <w:uiPriority w:val="99"/>
    <w:qFormat/>
    <w:rsid w:val="008436AD"/>
    <w:rPr>
      <w:sz w:val="24"/>
      <w:szCs w:val="24"/>
    </w:rPr>
  </w:style>
  <w:style w:type="paragraph" w:customStyle="1" w:styleId="TableParagraph">
    <w:name w:val="Table Paragraph"/>
    <w:basedOn w:val="a0"/>
    <w:autoRedefine/>
    <w:uiPriority w:val="1"/>
    <w:qFormat/>
    <w:rsid w:val="008436AD"/>
    <w:pPr>
      <w:suppressAutoHyphens/>
    </w:pPr>
  </w:style>
  <w:style w:type="table" w:customStyle="1" w:styleId="TableNormal">
    <w:name w:val="Table Normal"/>
    <w:autoRedefine/>
    <w:uiPriority w:val="2"/>
    <w:semiHidden/>
    <w:unhideWhenUsed/>
    <w:qFormat/>
    <w:rsid w:val="008436A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autoRedefine/>
    <w:qFormat/>
    <w:rsid w:val="008436AD"/>
    <w:pPr>
      <w:widowControl w:val="0"/>
      <w:autoSpaceDE w:val="0"/>
      <w:autoSpaceDN w:val="0"/>
    </w:pPr>
    <w:rPr>
      <w:rFonts w:eastAsiaTheme="minorEastAsia" w:cs="Calibri"/>
      <w:b/>
      <w:sz w:val="22"/>
      <w:szCs w:val="22"/>
    </w:rPr>
  </w:style>
  <w:style w:type="character" w:customStyle="1" w:styleId="af0">
    <w:name w:val="Обычный (веб) Знак"/>
    <w:basedOn w:val="a1"/>
    <w:link w:val="af"/>
    <w:uiPriority w:val="99"/>
    <w:qFormat/>
    <w:locked/>
    <w:rsid w:val="008436AD"/>
    <w:rPr>
      <w:rFonts w:ascii="Times New Roman" w:eastAsia="Times New Roman" w:hAnsi="Times New Roman"/>
      <w:sz w:val="24"/>
      <w:szCs w:val="24"/>
    </w:rPr>
  </w:style>
  <w:style w:type="paragraph" w:customStyle="1" w:styleId="1">
    <w:name w:val="Без интервала1"/>
    <w:autoRedefine/>
    <w:qFormat/>
    <w:rsid w:val="008436AD"/>
    <w:pPr>
      <w:spacing w:line="360" w:lineRule="auto"/>
      <w:jc w:val="both"/>
    </w:pPr>
    <w:rPr>
      <w:rFonts w:ascii="Times New Roman" w:eastAsia="Calibri" w:hAnsi="Times New Roman"/>
      <w:sz w:val="28"/>
      <w:szCs w:val="28"/>
      <w:lang w:eastAsia="en-US"/>
    </w:rPr>
  </w:style>
  <w:style w:type="character" w:customStyle="1" w:styleId="ac">
    <w:name w:val="Основной текст с отступом Знак"/>
    <w:basedOn w:val="a1"/>
    <w:link w:val="ab"/>
    <w:qFormat/>
    <w:rsid w:val="008436AD"/>
    <w:rPr>
      <w:rFonts w:ascii="Times New Roman" w:eastAsia="Times New Roman" w:hAnsi="Times New Roman"/>
      <w:sz w:val="28"/>
      <w:szCs w:val="28"/>
    </w:rPr>
  </w:style>
  <w:style w:type="paragraph" w:customStyle="1" w:styleId="a">
    <w:name w:val="Мой Стиль"/>
    <w:basedOn w:val="af2"/>
    <w:qFormat/>
    <w:rsid w:val="008436AD"/>
    <w:pPr>
      <w:widowControl w:val="0"/>
      <w:numPr>
        <w:numId w:val="1"/>
      </w:numPr>
      <w:spacing w:after="0" w:line="360" w:lineRule="auto"/>
      <w:contextualSpacing/>
      <w:jc w:val="center"/>
      <w:outlineLvl w:val="0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.PRM1\Local%20Settings\Temp\Cognitive\0FE58150E\&#1055;&#1056;&#1048;&#1045;&#1052;&#1053;&#1040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57EC2-93EC-46B8-B282-B199E2FE6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ПРИЕМНАЯ.dotx</Template>
  <TotalTime>36</TotalTime>
  <Pages>7</Pages>
  <Words>1160</Words>
  <Characters>9308</Characters>
  <Application>Microsoft Office Word</Application>
  <DocSecurity>0</DocSecurity>
  <Lines>77</Lines>
  <Paragraphs>20</Paragraphs>
  <ScaleCrop>false</ScaleCrop>
  <Company>Администрация НГО</Company>
  <LinksUpToDate>false</LinksUpToDate>
  <CharactersWithSpaces>10448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Системный администратор</dc:creator>
  <cp:lastModifiedBy>Прилукова</cp:lastModifiedBy>
  <cp:revision>19</cp:revision>
  <cp:lastPrinted>2024-08-07T23:13:00Z</cp:lastPrinted>
  <dcterms:created xsi:type="dcterms:W3CDTF">2024-05-21T07:29:00Z</dcterms:created>
  <dcterms:modified xsi:type="dcterms:W3CDTF">2025-02-03T23:53:00Z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3790C65C769541E9889B14D931A08B92_13</vt:lpwstr>
  </property>
</Properties>
</file>